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65"/>
        </w:tabs>
        <w:kinsoku/>
        <w:wordWrap/>
        <w:overflowPunct/>
        <w:topLinePunct w:val="0"/>
        <w:autoSpaceDE/>
        <w:autoSpaceDN/>
        <w:bidi w:val="0"/>
        <w:adjustRightInd/>
        <w:snapToGrid/>
        <w:spacing w:after="240" w:line="240" w:lineRule="auto"/>
        <w:ind w:firstLine="0" w:firstLineChars="0"/>
        <w:jc w:val="center"/>
        <w:textAlignment w:val="auto"/>
        <w:rPr>
          <w:rFonts w:hint="eastAsia" w:ascii="宋体" w:hAnsi="宋体" w:eastAsia="宋体" w:cs="Arial"/>
          <w:b/>
          <w:color w:val="auto"/>
          <w:kern w:val="28"/>
          <w:sz w:val="36"/>
          <w:szCs w:val="36"/>
          <w:highlight w:val="none"/>
          <w:lang w:eastAsia="zh-CN"/>
        </w:rPr>
      </w:pPr>
      <w:r>
        <w:rPr>
          <w:rFonts w:hint="eastAsia" w:ascii="宋体" w:hAnsi="宋体" w:eastAsia="宋体" w:cs="Arial"/>
          <w:b/>
          <w:color w:val="auto"/>
          <w:kern w:val="28"/>
          <w:sz w:val="36"/>
          <w:szCs w:val="36"/>
          <w:highlight w:val="none"/>
          <w:lang w:eastAsia="zh-CN"/>
        </w:rPr>
        <w:t>广州国有资产管理集团有限公司人力资源管理系统项目</w:t>
      </w:r>
    </w:p>
    <w:p>
      <w:pPr>
        <w:keepNext w:val="0"/>
        <w:keepLines w:val="0"/>
        <w:pageBreakBefore w:val="0"/>
        <w:widowControl w:val="0"/>
        <w:tabs>
          <w:tab w:val="left" w:pos="1665"/>
        </w:tabs>
        <w:kinsoku/>
        <w:wordWrap/>
        <w:overflowPunct/>
        <w:topLinePunct w:val="0"/>
        <w:autoSpaceDE/>
        <w:autoSpaceDN/>
        <w:bidi w:val="0"/>
        <w:adjustRightInd/>
        <w:snapToGrid/>
        <w:spacing w:after="240" w:line="240" w:lineRule="auto"/>
        <w:ind w:firstLine="0" w:firstLineChars="0"/>
        <w:jc w:val="center"/>
        <w:textAlignment w:val="auto"/>
        <w:rPr>
          <w:rFonts w:hint="eastAsia" w:ascii="宋体" w:hAnsi="宋体" w:eastAsia="宋体" w:cs="Arial"/>
          <w:b/>
          <w:color w:val="auto"/>
          <w:kern w:val="28"/>
          <w:sz w:val="36"/>
          <w:szCs w:val="36"/>
          <w:highlight w:val="none"/>
        </w:rPr>
      </w:pPr>
      <w:r>
        <w:rPr>
          <w:rFonts w:hint="eastAsia" w:ascii="宋体" w:hAnsi="宋体" w:eastAsia="宋体" w:cs="Arial"/>
          <w:b/>
          <w:color w:val="auto"/>
          <w:kern w:val="28"/>
          <w:sz w:val="36"/>
          <w:szCs w:val="36"/>
          <w:highlight w:val="none"/>
        </w:rPr>
        <w:t>竞争性磋商邀请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u w:val="single"/>
          <w:lang w:eastAsia="zh-CN"/>
        </w:rPr>
        <w:t>广州市国际工程咨询有限公司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u w:val="single"/>
          <w:lang w:eastAsia="zh-CN"/>
        </w:rPr>
        <w:t>广府通数字科技(广州)有限公司</w:t>
      </w:r>
      <w:r>
        <w:rPr>
          <w:rFonts w:hint="eastAsia" w:ascii="宋体" w:hAnsi="宋体" w:eastAsia="宋体" w:cs="宋体"/>
          <w:color w:val="auto"/>
          <w:sz w:val="21"/>
          <w:szCs w:val="21"/>
          <w:highlight w:val="none"/>
        </w:rPr>
        <w:t>的委托，对</w:t>
      </w:r>
      <w:r>
        <w:rPr>
          <w:rFonts w:hint="eastAsia" w:ascii="宋体" w:hAnsi="宋体" w:eastAsia="宋体" w:cs="宋体"/>
          <w:color w:val="auto"/>
          <w:sz w:val="21"/>
          <w:szCs w:val="21"/>
          <w:highlight w:val="none"/>
          <w:u w:val="single"/>
          <w:lang w:eastAsia="zh-CN"/>
        </w:rPr>
        <w:t>广州国有资产管理集团有限公司人力资源管理系统项目</w:t>
      </w:r>
      <w:r>
        <w:rPr>
          <w:rFonts w:hint="eastAsia" w:ascii="宋体" w:hAnsi="宋体" w:eastAsia="宋体" w:cs="宋体"/>
          <w:color w:val="auto"/>
          <w:sz w:val="21"/>
          <w:szCs w:val="21"/>
          <w:highlight w:val="none"/>
        </w:rPr>
        <w:t>进行竞争性磋商采购，</w:t>
      </w:r>
      <w:r>
        <w:rPr>
          <w:rFonts w:hint="eastAsia" w:ascii="宋体" w:hAnsi="宋体" w:eastAsia="宋体" w:cs="宋体"/>
          <w:color w:val="auto"/>
          <w:kern w:val="0"/>
          <w:sz w:val="21"/>
          <w:szCs w:val="21"/>
          <w:highlight w:val="none"/>
        </w:rPr>
        <w:t>欢迎符合资格条件的供应商</w:t>
      </w:r>
      <w:r>
        <w:rPr>
          <w:rFonts w:hint="eastAsia" w:ascii="宋体" w:hAnsi="宋体" w:eastAsia="宋体" w:cs="宋体"/>
          <w:color w:val="auto"/>
          <w:kern w:val="0"/>
          <w:sz w:val="21"/>
          <w:szCs w:val="21"/>
          <w:highlight w:val="none"/>
          <w:lang w:eastAsia="zh-CN"/>
        </w:rPr>
        <w:t>参加</w:t>
      </w:r>
      <w:r>
        <w:rPr>
          <w:rFonts w:hint="eastAsia" w:ascii="宋体" w:hAnsi="宋体" w:eastAsia="宋体" w:cs="宋体"/>
          <w:color w:val="auto"/>
          <w:kern w:val="0"/>
          <w:sz w:val="21"/>
          <w:szCs w:val="21"/>
          <w:highlight w:val="none"/>
        </w:rPr>
        <w:t>。</w:t>
      </w:r>
    </w:p>
    <w:p>
      <w:pPr>
        <w:keepNext w:val="0"/>
        <w:keepLines w:val="0"/>
        <w:pageBreakBefore w:val="0"/>
        <w:tabs>
          <w:tab w:val="left" w:pos="425"/>
        </w:tabs>
        <w:kinsoku/>
        <w:overflowPunct/>
        <w:topLinePunct w:val="0"/>
        <w:bidi w:val="0"/>
        <w:snapToGrid/>
        <w:spacing w:before="0" w:beforeLines="0" w:after="0" w:afterLines="0" w:line="360" w:lineRule="auto"/>
        <w:ind w:firstLine="0" w:firstLineChars="0"/>
        <w:jc w:val="left"/>
        <w:textAlignment w:val="auto"/>
        <w:outlineLvl w:val="9"/>
        <w:rPr>
          <w:rFonts w:hint="eastAsia" w:ascii="宋体" w:hAnsi="宋体" w:eastAsia="宋体" w:cs="宋体"/>
          <w:b/>
          <w:bCs/>
          <w:color w:val="auto"/>
          <w:sz w:val="21"/>
          <w:szCs w:val="21"/>
          <w:highlight w:val="none"/>
        </w:rPr>
      </w:pPr>
      <w:bookmarkStart w:id="0" w:name="_Toc41301448"/>
      <w:bookmarkStart w:id="1" w:name="_Toc35393629"/>
      <w:bookmarkStart w:id="2" w:name="_Toc28359089"/>
      <w:bookmarkStart w:id="3" w:name="_Toc88042805"/>
      <w:bookmarkStart w:id="4" w:name="_Toc28359012"/>
      <w:bookmarkStart w:id="5" w:name="_Toc35393798"/>
      <w:r>
        <w:rPr>
          <w:rFonts w:hint="eastAsia" w:ascii="宋体" w:hAnsi="宋体" w:eastAsia="宋体" w:cs="宋体"/>
          <w:b/>
          <w:bCs/>
          <w:color w:val="auto"/>
          <w:sz w:val="21"/>
          <w:szCs w:val="21"/>
          <w:highlight w:val="none"/>
        </w:rPr>
        <w:t>一、项目基本情况</w:t>
      </w:r>
      <w:bookmarkEnd w:id="0"/>
      <w:bookmarkEnd w:id="1"/>
      <w:bookmarkEnd w:id="2"/>
      <w:bookmarkEnd w:id="3"/>
      <w:bookmarkEnd w:id="4"/>
      <w:bookmarkEnd w:id="5"/>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采购项目编号：BA-B24081.0</w:t>
      </w:r>
      <w:r>
        <w:rPr>
          <w:rFonts w:hint="eastAsia" w:ascii="宋体" w:hAnsi="宋体" w:eastAsia="宋体" w:cs="宋体"/>
          <w:color w:val="auto"/>
          <w:sz w:val="21"/>
          <w:szCs w:val="21"/>
          <w:highlight w:val="none"/>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lang w:eastAsia="zh-CN"/>
        </w:rPr>
        <w:t>广州国有资产管理集团有限公司人力资源管理系统项目</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采购项目预算金额</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78.89</w:t>
      </w:r>
      <w:r>
        <w:rPr>
          <w:rFonts w:hint="eastAsia" w:ascii="宋体" w:hAnsi="宋体" w:eastAsia="宋体" w:cs="宋体"/>
          <w:color w:val="auto"/>
          <w:sz w:val="21"/>
          <w:szCs w:val="21"/>
          <w:highlight w:val="none"/>
          <w:lang w:val="en-US" w:eastAsia="zh-CN"/>
        </w:rPr>
        <w:t xml:space="preserve"> 万</w:t>
      </w:r>
      <w:r>
        <w:rPr>
          <w:rFonts w:hint="eastAsia" w:ascii="宋体" w:hAnsi="宋体" w:eastAsia="宋体" w:cs="宋体"/>
          <w:bCs/>
          <w:color w:val="auto"/>
          <w:sz w:val="21"/>
          <w:szCs w:val="21"/>
          <w:highlight w:val="none"/>
        </w:rPr>
        <w:t>元</w:t>
      </w:r>
    </w:p>
    <w:p>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4.采购方式：竞争性磋商</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ar-SA"/>
        </w:rPr>
        <w:t>5.合同履行期限：合同签订之日起1年</w:t>
      </w:r>
    </w:p>
    <w:p>
      <w:pPr>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项目内容及需求</w:t>
      </w:r>
      <w:r>
        <w:rPr>
          <w:rFonts w:hint="eastAsia" w:ascii="宋体" w:hAnsi="宋体" w:eastAsia="宋体" w:cs="宋体"/>
          <w:color w:val="auto"/>
          <w:kern w:val="0"/>
          <w:sz w:val="21"/>
          <w:szCs w:val="21"/>
          <w:highlight w:val="none"/>
          <w:lang w:eastAsia="zh-CN"/>
        </w:rPr>
        <w:t>一览表</w:t>
      </w:r>
    </w:p>
    <w:tbl>
      <w:tblPr>
        <w:tblStyle w:val="9"/>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054"/>
        <w:gridCol w:w="3820"/>
        <w:gridCol w:w="1270"/>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2054"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shd w:val="clear" w:color="auto" w:fill="FFFFFF"/>
              </w:rPr>
              <w:t>标的名称</w:t>
            </w:r>
          </w:p>
        </w:tc>
        <w:tc>
          <w:tcPr>
            <w:tcW w:w="3820"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需求</w:t>
            </w:r>
          </w:p>
        </w:tc>
        <w:tc>
          <w:tcPr>
            <w:tcW w:w="1270"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服务期限</w:t>
            </w:r>
          </w:p>
        </w:tc>
        <w:tc>
          <w:tcPr>
            <w:tcW w:w="1181"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最高限价</w:t>
            </w:r>
          </w:p>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b/>
                <w:bCs/>
                <w:color w:val="auto"/>
                <w:sz w:val="21"/>
                <w:szCs w:val="21"/>
                <w:highlight w:val="none"/>
                <w:shd w:val="clear" w:color="auto" w:fill="FFFFFF"/>
                <w:lang w:val="en-US" w:eastAsia="zh-CN"/>
              </w:rPr>
              <w:t>元</w:t>
            </w:r>
            <w:r>
              <w:rPr>
                <w:rFonts w:hint="eastAsia" w:ascii="宋体" w:hAnsi="宋体" w:eastAsia="宋体" w:cs="宋体"/>
                <w:b/>
                <w:bCs/>
                <w:color w:val="auto"/>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054" w:type="dxa"/>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广州国有资产管理集团有限公司人力资源管理系统项目</w:t>
            </w:r>
          </w:p>
        </w:tc>
        <w:tc>
          <w:tcPr>
            <w:tcW w:w="3820" w:type="dxa"/>
            <w:noWrap w:val="0"/>
            <w:vAlign w:val="center"/>
          </w:tcPr>
          <w:p>
            <w:pPr>
              <w:keepNext w:val="0"/>
              <w:keepLines w:val="0"/>
              <w:pageBreakBefore w:val="0"/>
              <w:kinsoku/>
              <w:overflowPunct/>
              <w:topLinePunct w:val="0"/>
              <w:bidi w:val="0"/>
              <w:snapToGrid/>
              <w:spacing w:beforeLines="0" w:line="360" w:lineRule="auto"/>
              <w:ind w:firstLine="0" w:firstLineChars="0"/>
              <w:jc w:val="both"/>
              <w:textAlignment w:val="auto"/>
              <w:outlineLvl w:val="9"/>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项目通过对生产企业人力资源管理的需求进行深入分析研究，科学合理地划分系统功能，包括包含组织管理、人事管理、劳动合同管理、薪酬管理、预算管理、时间管理、招聘管理、培训管理、绩效管理9大功能模块。</w:t>
            </w:r>
          </w:p>
        </w:tc>
        <w:tc>
          <w:tcPr>
            <w:tcW w:w="1270" w:type="dxa"/>
            <w:noWrap w:val="0"/>
            <w:vAlign w:val="center"/>
          </w:tcPr>
          <w:p>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ar-SA"/>
              </w:rPr>
              <w:t>合同签订之日起1年</w:t>
            </w:r>
          </w:p>
        </w:tc>
        <w:tc>
          <w:tcPr>
            <w:tcW w:w="1181" w:type="dxa"/>
            <w:noWrap w:val="0"/>
            <w:vAlign w:val="center"/>
          </w:tcPr>
          <w:p>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788900.00</w:t>
            </w:r>
          </w:p>
        </w:tc>
      </w:tr>
    </w:tbl>
    <w:p>
      <w:pPr>
        <w:keepNext w:val="0"/>
        <w:keepLines w:val="0"/>
        <w:pageBreakBefore w:val="0"/>
        <w:tabs>
          <w:tab w:val="left" w:pos="425"/>
        </w:tabs>
        <w:kinsoku/>
        <w:overflowPunct/>
        <w:topLinePunct w:val="0"/>
        <w:bidi w:val="0"/>
        <w:adjustRightInd/>
        <w:snapToGrid/>
        <w:spacing w:before="0" w:beforeLines="0" w:after="0" w:afterLines="0" w:line="360" w:lineRule="auto"/>
        <w:ind w:firstLine="0" w:firstLineChars="0"/>
        <w:jc w:val="left"/>
        <w:textAlignment w:val="auto"/>
        <w:outlineLvl w:val="9"/>
        <w:rPr>
          <w:rFonts w:hint="eastAsia" w:ascii="宋体" w:hAnsi="宋体" w:eastAsia="宋体" w:cs="宋体"/>
          <w:b/>
          <w:bCs/>
          <w:color w:val="auto"/>
          <w:kern w:val="28"/>
          <w:sz w:val="21"/>
          <w:szCs w:val="21"/>
          <w:highlight w:val="none"/>
          <w:lang w:val="en-US" w:eastAsia="zh-CN"/>
        </w:rPr>
      </w:pPr>
    </w:p>
    <w:p>
      <w:pPr>
        <w:keepNext w:val="0"/>
        <w:keepLines w:val="0"/>
        <w:pageBreakBefore w:val="0"/>
        <w:tabs>
          <w:tab w:val="left" w:pos="425"/>
        </w:tabs>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b/>
          <w:bCs/>
          <w:color w:val="auto"/>
          <w:kern w:val="28"/>
          <w:sz w:val="21"/>
          <w:szCs w:val="21"/>
          <w:highlight w:val="none"/>
        </w:rPr>
      </w:pPr>
      <w:r>
        <w:rPr>
          <w:rFonts w:hint="eastAsia" w:ascii="宋体" w:hAnsi="宋体" w:eastAsia="宋体" w:cs="宋体"/>
          <w:b/>
          <w:bCs/>
          <w:color w:val="auto"/>
          <w:kern w:val="28"/>
          <w:sz w:val="21"/>
          <w:szCs w:val="21"/>
          <w:highlight w:val="none"/>
          <w:lang w:val="en-US" w:eastAsia="zh-CN"/>
        </w:rPr>
        <w:t>二</w:t>
      </w:r>
      <w:r>
        <w:rPr>
          <w:rFonts w:hint="eastAsia" w:ascii="宋体" w:hAnsi="宋体" w:eastAsia="宋体" w:cs="宋体"/>
          <w:b/>
          <w:bCs/>
          <w:color w:val="auto"/>
          <w:kern w:val="28"/>
          <w:sz w:val="21"/>
          <w:szCs w:val="21"/>
          <w:highlight w:val="none"/>
        </w:rPr>
        <w:t>、供应商资格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须是法人或者其他组织，同时持有工商行政管理部门核发的营业执照，按国家法律经营；且其单位负责人为同一人或者存在控股、管理关系的不同单位，不得参加同一标段响应或者未划分标段的同一项目响应。</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kern w:val="2"/>
          <w:sz w:val="21"/>
          <w:szCs w:val="21"/>
          <w:highlight w:val="none"/>
          <w:lang w:val="en-US" w:eastAsia="zh-CN" w:bidi="ar-SA"/>
        </w:rPr>
      </w:pPr>
      <w:r>
        <w:rPr>
          <w:rFonts w:hint="eastAsia"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.在响应截止时间前，</w:t>
      </w:r>
      <w:r>
        <w:rPr>
          <w:rFonts w:hint="eastAsia"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未在“信用中国”网站（</w:t>
      </w:r>
      <w:r>
        <w:rPr>
          <w:rFonts w:hint="default" w:ascii="宋体" w:hAnsi="宋体" w:eastAsia="宋体" w:cs="宋体"/>
          <w:color w:val="auto"/>
          <w:kern w:val="2"/>
          <w:sz w:val="21"/>
          <w:szCs w:val="21"/>
          <w:highlight w:val="none"/>
          <w:lang w:val="en-US" w:eastAsia="zh-CN" w:bidi="ar-SA"/>
        </w:rPr>
        <w:t>www.creditchina.gov.cn</w:t>
      </w:r>
      <w:r>
        <w:rPr>
          <w:rFonts w:hint="eastAsia" w:ascii="宋体" w:hAnsi="宋体" w:eastAsia="宋体" w:cs="宋体"/>
          <w:color w:val="auto"/>
          <w:kern w:val="2"/>
          <w:sz w:val="21"/>
          <w:szCs w:val="21"/>
          <w:highlight w:val="none"/>
          <w:lang w:val="en-US" w:eastAsia="zh-CN" w:bidi="ar-SA"/>
        </w:rPr>
        <w:t>）中被列入失信被执行人名单，未在国家企业信用信息公示系统（</w:t>
      </w:r>
      <w:r>
        <w:rPr>
          <w:rFonts w:hint="default" w:ascii="宋体" w:hAnsi="宋体" w:eastAsia="宋体" w:cs="宋体"/>
          <w:color w:val="auto"/>
          <w:kern w:val="2"/>
          <w:sz w:val="21"/>
          <w:szCs w:val="21"/>
          <w:highlight w:val="none"/>
          <w:lang w:val="en-US" w:eastAsia="zh-CN" w:bidi="ar-SA"/>
        </w:rPr>
        <w:t>www.gsxt.gov.cn</w:t>
      </w:r>
      <w:r>
        <w:rPr>
          <w:rFonts w:hint="eastAsia" w:ascii="宋体" w:hAnsi="宋体" w:eastAsia="宋体" w:cs="宋体"/>
          <w:color w:val="auto"/>
          <w:kern w:val="2"/>
          <w:sz w:val="21"/>
          <w:szCs w:val="21"/>
          <w:highlight w:val="none"/>
          <w:lang w:val="en-US" w:eastAsia="zh-CN" w:bidi="ar-SA"/>
        </w:rPr>
        <w:t>）中被列入严重违法失信企业名单。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ascii="宋体" w:hAnsi="宋体" w:eastAsia="宋体" w:cs="宋体"/>
          <w:color w:val="auto"/>
          <w:kern w:val="2"/>
          <w:sz w:val="21"/>
          <w:szCs w:val="21"/>
          <w:highlight w:val="none"/>
          <w:lang w:val="en-US" w:eastAsia="zh-CN" w:bidi="ar-SA"/>
        </w:rPr>
      </w:pPr>
      <w:r>
        <w:rPr>
          <w:rFonts w:hint="eastAsia" w:eastAsia="宋体" w:cs="宋体"/>
          <w:color w:val="auto"/>
          <w:kern w:val="2"/>
          <w:sz w:val="21"/>
          <w:szCs w:val="21"/>
          <w:highlight w:val="none"/>
          <w:lang w:val="en-US" w:eastAsia="zh-CN" w:bidi="ar-SA"/>
        </w:rPr>
        <w:t>3.本项目不允许联合体报价,不得分包转包。</w:t>
      </w:r>
    </w:p>
    <w:p>
      <w:pPr>
        <w:keepNext w:val="0"/>
        <w:keepLines w:val="0"/>
        <w:pageBreakBefore w:val="0"/>
        <w:widowControl w:val="0"/>
        <w:kinsoku/>
        <w:overflowPunct/>
        <w:topLinePunct w:val="0"/>
        <w:bidi w:val="0"/>
        <w:snapToGrid/>
        <w:spacing w:line="360" w:lineRule="auto"/>
        <w:ind w:firstLine="0" w:firstLineChars="0"/>
        <w:textAlignment w:val="auto"/>
        <w:outlineLvl w:val="9"/>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三、获取竞争性磋商文件</w:t>
      </w:r>
    </w:p>
    <w:p>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响应</w:t>
      </w:r>
      <w:r>
        <w:rPr>
          <w:rFonts w:hint="eastAsia" w:ascii="宋体" w:hAnsi="宋体" w:cs="宋体"/>
          <w:szCs w:val="21"/>
        </w:rPr>
        <w:t>登记时间</w:t>
      </w:r>
      <w:r>
        <w:rPr>
          <w:rFonts w:hint="eastAsia" w:ascii="宋体" w:hAnsi="宋体" w:cs="宋体"/>
          <w:szCs w:val="21"/>
          <w:u w:val="none"/>
        </w:rPr>
        <w:t>：</w:t>
      </w:r>
      <w:r>
        <w:rPr>
          <w:rFonts w:hint="eastAsia" w:ascii="宋体" w:hAnsi="宋体" w:eastAsia="宋体" w:cs="宋体"/>
          <w:color w:val="auto"/>
          <w:kern w:val="0"/>
          <w:sz w:val="21"/>
          <w:szCs w:val="21"/>
          <w:highlight w:val="none"/>
          <w:u w:val="none"/>
          <w:lang w:eastAsia="zh-CN"/>
        </w:rPr>
        <w:t>2024年</w:t>
      </w:r>
      <w:r>
        <w:rPr>
          <w:rFonts w:hint="eastAsia" w:ascii="宋体" w:hAnsi="宋体" w:eastAsia="宋体" w:cs="宋体"/>
          <w:color w:val="auto"/>
          <w:kern w:val="0"/>
          <w:sz w:val="21"/>
          <w:szCs w:val="21"/>
          <w:highlight w:val="none"/>
          <w:u w:val="none"/>
          <w:lang w:val="en-US" w:eastAsia="zh-CN"/>
        </w:rPr>
        <w:t>10月15日至</w:t>
      </w:r>
      <w:r>
        <w:rPr>
          <w:rFonts w:hint="eastAsia" w:ascii="宋体" w:hAnsi="宋体" w:eastAsia="宋体" w:cs="宋体"/>
          <w:color w:val="auto"/>
          <w:kern w:val="0"/>
          <w:sz w:val="21"/>
          <w:szCs w:val="21"/>
          <w:highlight w:val="none"/>
          <w:u w:val="none"/>
          <w:lang w:eastAsia="zh-CN"/>
        </w:rPr>
        <w:t>2024年</w:t>
      </w:r>
      <w:r>
        <w:rPr>
          <w:rFonts w:hint="eastAsia" w:ascii="宋体" w:hAnsi="宋体" w:eastAsia="宋体" w:cs="宋体"/>
          <w:color w:val="auto"/>
          <w:kern w:val="0"/>
          <w:sz w:val="21"/>
          <w:szCs w:val="21"/>
          <w:highlight w:val="none"/>
          <w:u w:val="none"/>
          <w:lang w:val="en-US" w:eastAsia="zh-CN"/>
        </w:rPr>
        <w:t>10月21日</w:t>
      </w:r>
      <w:r>
        <w:rPr>
          <w:rFonts w:hint="eastAsia" w:ascii="宋体" w:hAnsi="宋体" w:cs="宋体"/>
          <w:szCs w:val="21"/>
        </w:rPr>
        <w:t>，每天上午09：00至12：00，下午14：30至17：30（北京时间，法定节假日除外 ）</w:t>
      </w:r>
    </w:p>
    <w:p>
      <w:pPr>
        <w:spacing w:line="360" w:lineRule="auto"/>
        <w:ind w:firstLine="420" w:firstLineChars="200"/>
        <w:rPr>
          <w:rFonts w:ascii="宋体" w:hAnsi="宋体" w:cs="宋体"/>
          <w:szCs w:val="21"/>
          <w:u w:val="single"/>
        </w:rPr>
      </w:pPr>
      <w:r>
        <w:rPr>
          <w:rFonts w:hint="eastAsia" w:ascii="宋体" w:hAnsi="宋体" w:cs="宋体"/>
          <w:szCs w:val="21"/>
        </w:rPr>
        <w:t>地点：广州市寺右新马路111号五羊新城广场</w:t>
      </w:r>
      <w:r>
        <w:rPr>
          <w:rFonts w:hint="eastAsia" w:ascii="宋体" w:hAnsi="宋体" w:cs="宋体"/>
          <w:szCs w:val="21"/>
          <w:lang w:val="en-US" w:eastAsia="zh-CN"/>
        </w:rPr>
        <w:t>8</w:t>
      </w:r>
      <w:r>
        <w:rPr>
          <w:rFonts w:hint="eastAsia" w:ascii="宋体" w:hAnsi="宋体" w:cs="宋体"/>
          <w:szCs w:val="21"/>
        </w:rPr>
        <w:t>楼821</w:t>
      </w:r>
    </w:p>
    <w:p>
      <w:pPr>
        <w:spacing w:line="360" w:lineRule="auto"/>
        <w:ind w:firstLine="420" w:firstLineChars="200"/>
        <w:rPr>
          <w:rFonts w:hint="eastAsia" w:ascii="宋体" w:hAnsi="宋体" w:cs="宋体"/>
          <w:szCs w:val="21"/>
        </w:rPr>
      </w:pPr>
      <w:r>
        <w:rPr>
          <w:rFonts w:hint="eastAsia" w:ascii="宋体" w:hAnsi="宋体" w:cs="宋体"/>
          <w:szCs w:val="21"/>
        </w:rPr>
        <w:t>方式：（1）现场登记；（2）邮件登记。</w:t>
      </w:r>
    </w:p>
    <w:p>
      <w:pPr>
        <w:spacing w:line="360" w:lineRule="auto"/>
        <w:ind w:firstLine="420" w:firstLineChars="200"/>
        <w:rPr>
          <w:rFonts w:hint="eastAsia" w:ascii="宋体" w:hAnsi="宋体" w:cs="宋体"/>
          <w:szCs w:val="21"/>
        </w:rPr>
      </w:pPr>
      <w:r>
        <w:rPr>
          <w:rFonts w:hint="eastAsia" w:ascii="宋体" w:hAnsi="宋体" w:cs="宋体"/>
          <w:szCs w:val="21"/>
        </w:rPr>
        <w:t>售价（元）：500</w:t>
      </w:r>
    </w:p>
    <w:p>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2.</w:t>
      </w:r>
      <w:r>
        <w:rPr>
          <w:rFonts w:hint="eastAsia" w:ascii="宋体" w:hAnsi="宋体" w:cs="宋体"/>
          <w:bCs/>
          <w:szCs w:val="21"/>
          <w:lang w:val="zh-CN" w:eastAsia="zh-CN"/>
        </w:rPr>
        <w:t>响应</w:t>
      </w:r>
      <w:r>
        <w:rPr>
          <w:rFonts w:hint="eastAsia" w:ascii="宋体" w:hAnsi="宋体" w:cs="宋体"/>
          <w:bCs/>
          <w:szCs w:val="21"/>
          <w:lang w:val="zh-CN"/>
        </w:rPr>
        <w:t>登记时请提供</w:t>
      </w:r>
      <w:r>
        <w:rPr>
          <w:rFonts w:hint="eastAsia" w:ascii="宋体" w:hAnsi="宋体" w:cs="宋体"/>
          <w:color w:val="auto"/>
          <w:szCs w:val="21"/>
          <w:highlight w:val="none"/>
          <w:lang w:val="en-US" w:eastAsia="zh-CN"/>
        </w:rPr>
        <w:t>响应</w:t>
      </w:r>
      <w:r>
        <w:rPr>
          <w:rFonts w:hint="eastAsia" w:ascii="宋体" w:hAnsi="宋体" w:cs="宋体"/>
          <w:bCs/>
          <w:szCs w:val="21"/>
          <w:lang w:val="zh-CN"/>
        </w:rPr>
        <w:t>登记申请表</w:t>
      </w:r>
      <w:r>
        <w:rPr>
          <w:rFonts w:hint="eastAsia" w:ascii="宋体" w:hAnsi="宋体" w:cs="宋体"/>
          <w:bCs/>
          <w:szCs w:val="21"/>
        </w:rPr>
        <w:t>（打印填写完毕后</w:t>
      </w:r>
      <w:r>
        <w:rPr>
          <w:rFonts w:hint="eastAsia" w:ascii="宋体" w:hAnsi="宋体" w:cs="宋体"/>
          <w:bCs/>
          <w:szCs w:val="21"/>
          <w:lang w:val="zh-CN"/>
        </w:rPr>
        <w:t>要求加盖单位公章</w:t>
      </w:r>
      <w:r>
        <w:rPr>
          <w:rFonts w:hint="eastAsia" w:ascii="宋体" w:hAnsi="宋体" w:cs="宋体"/>
          <w:bCs/>
          <w:szCs w:val="21"/>
        </w:rPr>
        <w:t>），</w:t>
      </w:r>
      <w:r>
        <w:rPr>
          <w:rFonts w:hint="eastAsia" w:ascii="宋体" w:hAnsi="宋体" w:cs="宋体"/>
          <w:color w:val="auto"/>
          <w:szCs w:val="21"/>
          <w:highlight w:val="none"/>
          <w:lang w:val="en-US" w:eastAsia="zh-CN"/>
        </w:rPr>
        <w:t>响应</w:t>
      </w:r>
      <w:r>
        <w:rPr>
          <w:rFonts w:hint="eastAsia" w:ascii="宋体" w:hAnsi="宋体" w:cs="宋体"/>
          <w:bCs/>
          <w:szCs w:val="21"/>
          <w:lang w:val="zh-CN"/>
        </w:rPr>
        <w:t>登记费</w:t>
      </w:r>
      <w:r>
        <w:rPr>
          <w:rFonts w:hint="eastAsia" w:ascii="宋体" w:hAnsi="宋体" w:cs="宋体"/>
          <w:bCs/>
          <w:szCs w:val="21"/>
        </w:rPr>
        <w:t>500</w:t>
      </w:r>
      <w:r>
        <w:rPr>
          <w:rFonts w:hint="eastAsia" w:ascii="宋体" w:hAnsi="宋体" w:cs="宋体"/>
          <w:bCs/>
          <w:szCs w:val="21"/>
          <w:lang w:val="zh-CN"/>
        </w:rPr>
        <w:t>元</w:t>
      </w:r>
      <w:r>
        <w:rPr>
          <w:rFonts w:hint="eastAsia" w:ascii="宋体" w:hAnsi="宋体" w:cs="宋体"/>
          <w:bCs/>
          <w:szCs w:val="21"/>
        </w:rPr>
        <w:t>，</w:t>
      </w:r>
      <w:r>
        <w:rPr>
          <w:rFonts w:hint="eastAsia" w:ascii="宋体" w:hAnsi="宋体" w:cs="宋体"/>
          <w:bCs/>
          <w:szCs w:val="21"/>
          <w:lang w:val="zh-CN"/>
        </w:rPr>
        <w:t>登记后不退。</w:t>
      </w:r>
    </w:p>
    <w:p>
      <w:pPr>
        <w:autoSpaceDE w:val="0"/>
        <w:autoSpaceDN w:val="0"/>
        <w:spacing w:line="360" w:lineRule="auto"/>
        <w:ind w:firstLine="420" w:firstLineChars="200"/>
        <w:rPr>
          <w:rFonts w:hint="eastAsia" w:ascii="宋体" w:hAnsi="宋体" w:cs="宋体"/>
          <w:bCs/>
          <w:szCs w:val="21"/>
          <w:lang w:val="zh-CN"/>
        </w:rPr>
      </w:pPr>
      <w:r>
        <w:rPr>
          <w:rFonts w:hint="eastAsia" w:ascii="宋体" w:hAnsi="宋体" w:cs="宋体"/>
          <w:bCs/>
          <w:szCs w:val="21"/>
          <w:lang w:val="zh-CN"/>
        </w:rPr>
        <w:t>如采用邮件登记，请将</w:t>
      </w:r>
      <w:r>
        <w:rPr>
          <w:rFonts w:hint="eastAsia" w:ascii="宋体" w:hAnsi="宋体" w:cs="宋体"/>
          <w:bCs/>
          <w:szCs w:val="21"/>
          <w:lang w:val="zh-CN" w:eastAsia="zh-CN"/>
        </w:rPr>
        <w:t>响应</w:t>
      </w:r>
      <w:r>
        <w:rPr>
          <w:rFonts w:hint="eastAsia" w:ascii="宋体" w:hAnsi="宋体" w:cs="宋体"/>
          <w:bCs/>
          <w:szCs w:val="21"/>
          <w:lang w:val="zh-CN"/>
        </w:rPr>
        <w:t>登记费用汇入：</w:t>
      </w:r>
    </w:p>
    <w:p>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lang w:val="zh-CN"/>
        </w:rPr>
        <w:t>收 款 人：</w:t>
      </w:r>
      <w:r>
        <w:rPr>
          <w:rFonts w:hint="eastAsia" w:ascii="宋体" w:hAnsi="宋体" w:cs="宋体"/>
          <w:bCs/>
          <w:szCs w:val="21"/>
        </w:rPr>
        <w:t xml:space="preserve"> 广州市国际工程咨询有限公司</w:t>
      </w:r>
    </w:p>
    <w:p>
      <w:pPr>
        <w:autoSpaceDE w:val="0"/>
        <w:autoSpaceDN w:val="0"/>
        <w:spacing w:line="360" w:lineRule="auto"/>
        <w:ind w:firstLine="420" w:firstLineChars="200"/>
        <w:rPr>
          <w:rFonts w:hint="eastAsia" w:ascii="宋体" w:hAnsi="宋体" w:cs="宋体"/>
          <w:bCs/>
          <w:szCs w:val="21"/>
          <w:lang w:val="zh-CN"/>
        </w:rPr>
      </w:pPr>
      <w:r>
        <w:rPr>
          <w:rFonts w:hint="eastAsia" w:ascii="宋体" w:hAnsi="宋体" w:cs="宋体"/>
          <w:bCs/>
          <w:szCs w:val="21"/>
          <w:lang w:val="zh-CN"/>
        </w:rPr>
        <w:t>开户银行：</w:t>
      </w:r>
      <w:r>
        <w:rPr>
          <w:rFonts w:hint="eastAsia" w:ascii="宋体" w:hAnsi="宋体" w:cs="宋体"/>
          <w:bCs/>
          <w:szCs w:val="21"/>
        </w:rPr>
        <w:t xml:space="preserve"> 华夏银行广州分行营业部</w:t>
      </w:r>
    </w:p>
    <w:p>
      <w:pPr>
        <w:autoSpaceDE w:val="0"/>
        <w:autoSpaceDN w:val="0"/>
        <w:spacing w:line="360" w:lineRule="auto"/>
        <w:ind w:firstLine="420" w:firstLineChars="200"/>
        <w:rPr>
          <w:rFonts w:hint="eastAsia" w:ascii="宋体" w:hAnsi="宋体" w:cs="宋体"/>
          <w:bCs/>
          <w:szCs w:val="21"/>
          <w:lang w:val="zh-CN"/>
        </w:rPr>
      </w:pPr>
      <w:r>
        <w:rPr>
          <w:rFonts w:hint="eastAsia" w:ascii="宋体" w:hAnsi="宋体" w:cs="宋体"/>
          <w:bCs/>
          <w:szCs w:val="21"/>
          <w:lang w:val="zh-CN"/>
        </w:rPr>
        <w:t>账    号：</w:t>
      </w:r>
      <w:r>
        <w:rPr>
          <w:rFonts w:hint="eastAsia" w:ascii="宋体" w:hAnsi="宋体" w:cs="宋体"/>
          <w:bCs/>
          <w:szCs w:val="21"/>
        </w:rPr>
        <w:t xml:space="preserve"> 5030200001819100021526</w:t>
      </w:r>
    </w:p>
    <w:p>
      <w:pPr>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lang w:val="zh-CN"/>
        </w:rPr>
        <w:t>并请注明</w:t>
      </w:r>
      <w:r>
        <w:rPr>
          <w:rFonts w:hint="eastAsia" w:ascii="宋体" w:hAnsi="宋体" w:cs="宋体"/>
          <w:color w:val="auto"/>
          <w:szCs w:val="21"/>
          <w:highlight w:val="none"/>
          <w:lang w:val="en-US" w:eastAsia="zh-CN"/>
        </w:rPr>
        <w:t>响应</w:t>
      </w:r>
      <w:r>
        <w:rPr>
          <w:rFonts w:hint="eastAsia" w:ascii="宋体" w:hAnsi="宋体" w:cs="宋体"/>
          <w:bCs/>
          <w:szCs w:val="21"/>
          <w:lang w:val="zh-CN"/>
        </w:rPr>
        <w:t>登记单位名称及“事由：</w:t>
      </w:r>
      <w:r>
        <w:rPr>
          <w:rFonts w:hint="eastAsia" w:ascii="宋体" w:hAnsi="宋体" w:cs="宋体"/>
          <w:bCs/>
          <w:szCs w:val="21"/>
          <w:u w:val="single"/>
          <w:lang w:val="zh-CN"/>
        </w:rPr>
        <w:t>项目编号</w:t>
      </w:r>
      <w:r>
        <w:rPr>
          <w:rFonts w:hint="eastAsia" w:ascii="宋体" w:hAnsi="宋体" w:cs="宋体"/>
          <w:bCs/>
          <w:szCs w:val="21"/>
          <w:u w:val="single"/>
        </w:rPr>
        <w:t>：    子包号（如有）</w:t>
      </w:r>
      <w:r>
        <w:rPr>
          <w:rFonts w:hint="eastAsia" w:ascii="宋体" w:hAnsi="宋体" w:cs="宋体"/>
          <w:bCs/>
          <w:szCs w:val="21"/>
          <w:u w:val="single"/>
          <w:lang w:eastAsia="zh-CN"/>
        </w:rPr>
        <w:t>响应</w:t>
      </w:r>
      <w:r>
        <w:rPr>
          <w:rFonts w:hint="eastAsia" w:ascii="宋体" w:hAnsi="宋体" w:cs="宋体"/>
          <w:bCs/>
          <w:szCs w:val="21"/>
          <w:u w:val="single"/>
        </w:rPr>
        <w:t>登记费</w:t>
      </w:r>
      <w:r>
        <w:rPr>
          <w:rFonts w:hint="eastAsia" w:ascii="宋体" w:hAnsi="宋体" w:cs="宋体"/>
          <w:bCs/>
          <w:szCs w:val="21"/>
          <w:lang w:val="zh-CN"/>
        </w:rPr>
        <w:t>”。</w:t>
      </w:r>
    </w:p>
    <w:p>
      <w:pPr>
        <w:tabs>
          <w:tab w:val="left" w:pos="180"/>
        </w:tabs>
        <w:autoSpaceDE w:val="0"/>
        <w:autoSpaceDN w:val="0"/>
        <w:spacing w:line="360" w:lineRule="auto"/>
        <w:ind w:firstLine="420" w:firstLineChars="200"/>
        <w:rPr>
          <w:rFonts w:hint="eastAsia" w:ascii="宋体" w:hAnsi="宋体" w:cs="宋体"/>
          <w:bCs/>
          <w:szCs w:val="21"/>
        </w:rPr>
      </w:pPr>
      <w:r>
        <w:rPr>
          <w:rFonts w:hint="eastAsia" w:ascii="宋体" w:hAnsi="宋体" w:cs="宋体"/>
          <w:bCs/>
          <w:szCs w:val="21"/>
        </w:rPr>
        <w:t>3.</w:t>
      </w:r>
      <w:r>
        <w:rPr>
          <w:rFonts w:hint="eastAsia" w:ascii="宋体" w:hAnsi="宋体" w:cs="宋体"/>
          <w:bCs/>
          <w:szCs w:val="21"/>
          <w:lang w:val="zh-CN"/>
        </w:rPr>
        <w:t>联系邮箱</w:t>
      </w:r>
      <w:r>
        <w:rPr>
          <w:rFonts w:hint="eastAsia" w:ascii="宋体" w:hAnsi="宋体" w:cs="宋体"/>
          <w:bCs/>
          <w:szCs w:val="21"/>
        </w:rPr>
        <w:t>：</w:t>
      </w:r>
      <w:r>
        <w:rPr>
          <w:rFonts w:hint="eastAsia" w:ascii="宋体" w:hAnsi="宋体" w:cs="宋体"/>
          <w:color w:val="auto"/>
          <w:szCs w:val="21"/>
          <w:highlight w:val="none"/>
          <w:lang w:val="en-US" w:eastAsia="zh-CN"/>
        </w:rPr>
        <w:t>响应</w:t>
      </w:r>
      <w:r>
        <w:rPr>
          <w:rFonts w:hint="eastAsia" w:ascii="宋体" w:hAnsi="宋体" w:cs="宋体"/>
          <w:bCs/>
          <w:szCs w:val="21"/>
          <w:lang w:val="zh-CN"/>
        </w:rPr>
        <w:t>登记</w:t>
      </w:r>
      <w:r>
        <w:rPr>
          <w:rFonts w:hint="eastAsia" w:ascii="宋体" w:hAnsi="宋体" w:cs="宋体"/>
          <w:bCs/>
          <w:szCs w:val="21"/>
        </w:rPr>
        <w:t>等咨询处理：</w:t>
      </w:r>
      <w:r>
        <w:rPr>
          <w:rFonts w:hint="eastAsia" w:ascii="宋体" w:hAnsi="宋体" w:cs="宋体"/>
          <w:bCs/>
          <w:szCs w:val="21"/>
          <w:lang w:val="en-US" w:eastAsia="zh-CN"/>
        </w:rPr>
        <w:t>xbx</w:t>
      </w:r>
      <w:r>
        <w:rPr>
          <w:rFonts w:hint="eastAsia" w:ascii="宋体" w:hAnsi="宋体" w:cs="宋体"/>
          <w:szCs w:val="21"/>
        </w:rPr>
        <w:t>@giecc.com.cn</w:t>
      </w:r>
    </w:p>
    <w:p>
      <w:pPr>
        <w:spacing w:line="360" w:lineRule="auto"/>
        <w:ind w:firstLine="420" w:firstLineChars="200"/>
        <w:rPr>
          <w:rFonts w:hint="eastAsia" w:ascii="宋体" w:hAnsi="宋体" w:cs="宋体"/>
          <w:szCs w:val="21"/>
        </w:rPr>
      </w:pPr>
      <w:r>
        <w:rPr>
          <w:rFonts w:hint="eastAsia" w:ascii="宋体" w:hAnsi="宋体" w:cs="宋体"/>
          <w:bCs/>
          <w:szCs w:val="21"/>
        </w:rPr>
        <w:t>4.其他：</w:t>
      </w:r>
    </w:p>
    <w:p>
      <w:pPr>
        <w:spacing w:line="360" w:lineRule="auto"/>
        <w:ind w:firstLine="420" w:firstLineChars="200"/>
        <w:rPr>
          <w:rFonts w:hint="eastAsia" w:ascii="宋体" w:hAnsi="宋体" w:cs="宋体"/>
          <w:szCs w:val="21"/>
        </w:rPr>
      </w:pPr>
      <w:r>
        <w:rPr>
          <w:rFonts w:hint="eastAsia" w:ascii="宋体" w:hAnsi="宋体" w:cs="宋体"/>
          <w:szCs w:val="21"/>
        </w:rPr>
        <w:t>（1）已成功登记的供应商参加</w:t>
      </w:r>
      <w:r>
        <w:rPr>
          <w:rFonts w:hint="eastAsia" w:ascii="宋体" w:hAnsi="宋体" w:cs="宋体"/>
          <w:color w:val="auto"/>
          <w:szCs w:val="21"/>
          <w:highlight w:val="none"/>
          <w:lang w:val="en-US" w:eastAsia="zh-CN"/>
        </w:rPr>
        <w:t>响应</w:t>
      </w:r>
      <w:r>
        <w:rPr>
          <w:rFonts w:hint="eastAsia" w:ascii="宋体" w:hAnsi="宋体" w:cs="宋体"/>
          <w:szCs w:val="21"/>
        </w:rPr>
        <w:t>的，不代表通过资格性、符合性审查。</w:t>
      </w:r>
      <w:r>
        <w:rPr>
          <w:rFonts w:hint="eastAsia" w:ascii="宋体" w:hAnsi="宋体" w:cs="宋体"/>
          <w:szCs w:val="21"/>
          <w:lang w:val="en-US" w:eastAsia="zh-CN"/>
        </w:rPr>
        <w:t>响应</w:t>
      </w:r>
      <w:r>
        <w:rPr>
          <w:rFonts w:hint="eastAsia" w:ascii="宋体" w:hAnsi="宋体" w:cs="宋体"/>
          <w:szCs w:val="21"/>
        </w:rPr>
        <w:t>资格最终根据供应商响应文件中的资格审查资料作出的结论为准。</w:t>
      </w:r>
    </w:p>
    <w:p>
      <w:pPr>
        <w:spacing w:line="360" w:lineRule="auto"/>
        <w:ind w:firstLine="420" w:firstLineChars="200"/>
        <w:rPr>
          <w:rFonts w:hint="eastAsia" w:ascii="宋体" w:hAnsi="宋体" w:cs="宋体"/>
          <w:szCs w:val="21"/>
        </w:rPr>
      </w:pPr>
      <w:r>
        <w:rPr>
          <w:rFonts w:hint="eastAsia" w:ascii="宋体" w:hAnsi="宋体" w:cs="宋体"/>
          <w:bCs/>
          <w:szCs w:val="21"/>
        </w:rPr>
        <w:t>（2）合格的供应商应对所投全部采购内容进行响应，不允许只对部分内容进行响应。</w:t>
      </w:r>
    </w:p>
    <w:p>
      <w:pPr>
        <w:spacing w:line="360" w:lineRule="auto"/>
        <w:ind w:firstLine="420" w:firstLineChars="200"/>
        <w:rPr>
          <w:rFonts w:hint="eastAsia" w:ascii="宋体" w:hAnsi="宋体" w:cs="宋体"/>
          <w:szCs w:val="21"/>
        </w:rPr>
      </w:pPr>
      <w:r>
        <w:rPr>
          <w:rFonts w:hint="eastAsia" w:ascii="宋体" w:hAnsi="宋体" w:cs="宋体"/>
          <w:szCs w:val="21"/>
        </w:rPr>
        <w:t>（3）若已登记而决定不参加本项目</w:t>
      </w:r>
      <w:r>
        <w:rPr>
          <w:rFonts w:hint="eastAsia" w:ascii="宋体" w:hAnsi="宋体" w:cs="宋体"/>
          <w:color w:val="auto"/>
          <w:szCs w:val="21"/>
          <w:highlight w:val="none"/>
          <w:lang w:val="en-US" w:eastAsia="zh-CN"/>
        </w:rPr>
        <w:t>响应</w:t>
      </w:r>
      <w:r>
        <w:rPr>
          <w:rFonts w:hint="eastAsia" w:ascii="宋体" w:hAnsi="宋体" w:cs="宋体"/>
          <w:szCs w:val="21"/>
        </w:rPr>
        <w:t xml:space="preserve">的供应商，应在开标前三日以书面形式（书面材料、信函或传真加盖供应商公章）通知采购代理机构。   </w:t>
      </w:r>
    </w:p>
    <w:p>
      <w:pPr>
        <w:keepNext w:val="0"/>
        <w:keepLines w:val="0"/>
        <w:pageBreakBefore w:val="0"/>
        <w:widowControl w:val="0"/>
        <w:tabs>
          <w:tab w:val="left" w:pos="425"/>
        </w:tabs>
        <w:kinsoku/>
        <w:wordWrap/>
        <w:overflowPunct/>
        <w:topLinePunct w:val="0"/>
        <w:bidi w:val="0"/>
        <w:adjustRightInd/>
        <w:snapToGrid/>
        <w:spacing w:before="0" w:beforeLines="0" w:after="0" w:afterLines="0" w:line="360" w:lineRule="auto"/>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kern w:val="28"/>
          <w:sz w:val="21"/>
          <w:szCs w:val="21"/>
          <w:highlight w:val="none"/>
          <w:lang w:val="en-US" w:eastAsia="zh-CN" w:bidi="ar-SA"/>
        </w:rPr>
        <w:t>四、</w:t>
      </w:r>
      <w:r>
        <w:rPr>
          <w:rFonts w:hint="eastAsia" w:ascii="宋体" w:hAnsi="宋体" w:eastAsia="宋体" w:cs="宋体"/>
          <w:b/>
          <w:bCs/>
          <w:color w:val="auto"/>
          <w:sz w:val="21"/>
          <w:szCs w:val="21"/>
          <w:highlight w:val="none"/>
        </w:rPr>
        <w:t>响应文件提交</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eastAsia="zh-CN"/>
        </w:rPr>
        <w:t>递交</w:t>
      </w:r>
      <w:r>
        <w:rPr>
          <w:rFonts w:hint="eastAsia" w:ascii="宋体" w:hAnsi="宋体" w:eastAsia="宋体" w:cs="宋体"/>
          <w:color w:val="auto"/>
          <w:sz w:val="21"/>
          <w:szCs w:val="21"/>
          <w:highlight w:val="none"/>
        </w:rPr>
        <w:t>时间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eastAsia="zh-CN"/>
        </w:rPr>
        <w:t>2024年</w:t>
      </w:r>
      <w:r>
        <w:rPr>
          <w:rFonts w:hint="eastAsia" w:ascii="宋体" w:hAnsi="宋体" w:eastAsia="宋体" w:cs="宋体"/>
          <w:color w:val="auto"/>
          <w:kern w:val="0"/>
          <w:sz w:val="21"/>
          <w:szCs w:val="21"/>
          <w:highlight w:val="none"/>
          <w:u w:val="single"/>
          <w:lang w:val="en-US" w:eastAsia="zh-CN"/>
        </w:rPr>
        <w:t>10月22日09</w:t>
      </w:r>
      <w:r>
        <w:rPr>
          <w:rFonts w:hint="eastAsia" w:ascii="宋体" w:hAnsi="宋体" w:eastAsia="宋体" w:cs="宋体"/>
          <w:color w:val="auto"/>
          <w:kern w:val="0"/>
          <w:sz w:val="21"/>
          <w:szCs w:val="21"/>
          <w:highlight w:val="none"/>
          <w:u w:val="single"/>
        </w:rPr>
        <w:t>时</w:t>
      </w:r>
      <w:r>
        <w:rPr>
          <w:rFonts w:hint="eastAsia" w:ascii="宋体" w:hAnsi="宋体" w:eastAsia="宋体" w:cs="宋体"/>
          <w:color w:val="auto"/>
          <w:kern w:val="0"/>
          <w:sz w:val="21"/>
          <w:szCs w:val="21"/>
          <w:highlight w:val="none"/>
          <w:u w:val="single"/>
          <w:lang w:val="en-US" w:eastAsia="zh-CN"/>
        </w:rPr>
        <w:t>00</w:t>
      </w:r>
      <w:r>
        <w:rPr>
          <w:rFonts w:hint="eastAsia" w:ascii="宋体" w:hAnsi="宋体" w:eastAsia="宋体" w:cs="宋体"/>
          <w:color w:val="auto"/>
          <w:kern w:val="0"/>
          <w:sz w:val="21"/>
          <w:szCs w:val="21"/>
          <w:highlight w:val="none"/>
          <w:u w:val="single"/>
        </w:rPr>
        <w:t>分</w:t>
      </w:r>
      <w:r>
        <w:rPr>
          <w:rFonts w:hint="eastAsia" w:ascii="宋体" w:hAnsi="宋体" w:eastAsia="宋体" w:cs="宋体"/>
          <w:color w:val="auto"/>
          <w:kern w:val="0"/>
          <w:sz w:val="21"/>
          <w:szCs w:val="21"/>
          <w:highlight w:val="none"/>
          <w:u w:val="single"/>
          <w:lang w:val="en-US" w:eastAsia="zh-CN"/>
        </w:rPr>
        <w:t>至</w:t>
      </w:r>
      <w:r>
        <w:rPr>
          <w:rFonts w:hint="eastAsia" w:ascii="宋体" w:hAnsi="宋体" w:eastAsia="宋体" w:cs="宋体"/>
          <w:color w:val="auto"/>
          <w:kern w:val="0"/>
          <w:sz w:val="21"/>
          <w:szCs w:val="21"/>
          <w:highlight w:val="none"/>
          <w:u w:val="single"/>
          <w:lang w:eastAsia="zh-CN"/>
        </w:rPr>
        <w:t>2024年</w:t>
      </w:r>
      <w:r>
        <w:rPr>
          <w:rFonts w:hint="eastAsia" w:ascii="宋体" w:hAnsi="宋体" w:eastAsia="宋体" w:cs="宋体"/>
          <w:color w:val="auto"/>
          <w:kern w:val="0"/>
          <w:sz w:val="21"/>
          <w:szCs w:val="21"/>
          <w:highlight w:val="none"/>
          <w:u w:val="single"/>
          <w:lang w:val="en-US" w:eastAsia="zh-CN"/>
        </w:rPr>
        <w:t>10月22日09</w:t>
      </w:r>
      <w:r>
        <w:rPr>
          <w:rFonts w:hint="eastAsia" w:ascii="宋体" w:hAnsi="宋体" w:eastAsia="宋体" w:cs="宋体"/>
          <w:color w:val="auto"/>
          <w:kern w:val="0"/>
          <w:sz w:val="21"/>
          <w:szCs w:val="21"/>
          <w:highlight w:val="none"/>
          <w:u w:val="single"/>
        </w:rPr>
        <w:t>时</w:t>
      </w:r>
      <w:r>
        <w:rPr>
          <w:rFonts w:hint="eastAsia" w:ascii="宋体" w:hAnsi="宋体" w:eastAsia="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color w:val="auto"/>
          <w:sz w:val="21"/>
          <w:szCs w:val="21"/>
          <w:highlight w:val="none"/>
        </w:rPr>
        <w:t>（北京时间）</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广州市越秀区寺右新马路111号五羊新城广场9楼第一会议室。</w:t>
      </w:r>
    </w:p>
    <w:p>
      <w:pPr>
        <w:pStyle w:val="3"/>
        <w:keepNext w:val="0"/>
        <w:keepLines w:val="0"/>
        <w:pageBreakBefore w:val="0"/>
        <w:numPr>
          <w:ilvl w:val="0"/>
          <w:numId w:val="1"/>
        </w:numPr>
        <w:kinsoku/>
        <w:overflowPunct/>
        <w:topLinePunct w:val="0"/>
        <w:bidi w:val="0"/>
        <w:snapToGrid/>
        <w:spacing w:line="360" w:lineRule="auto"/>
        <w:ind w:left="0" w:leftChars="0" w:firstLine="0" w:firstLineChars="0"/>
        <w:textAlignment w:val="auto"/>
        <w:outlineLvl w:val="9"/>
        <w:rPr>
          <w:rFonts w:hint="eastAsia" w:ascii="宋体" w:hAnsi="宋体" w:eastAsia="宋体" w:cs="宋体"/>
          <w:b/>
          <w:bCs/>
          <w:color w:val="auto"/>
          <w:kern w:val="28"/>
          <w:sz w:val="21"/>
          <w:szCs w:val="21"/>
          <w:highlight w:val="none"/>
          <w:lang w:val="en-US" w:eastAsia="zh-CN" w:bidi="ar-SA"/>
        </w:rPr>
      </w:pPr>
      <w:r>
        <w:rPr>
          <w:rFonts w:hint="eastAsia" w:ascii="宋体" w:hAnsi="宋体" w:cs="宋体"/>
          <w:b/>
          <w:bCs/>
          <w:kern w:val="28"/>
          <w:szCs w:val="21"/>
          <w:lang w:val="en-US" w:eastAsia="zh-CN"/>
        </w:rPr>
        <w:t>磋商</w:t>
      </w:r>
      <w:r>
        <w:rPr>
          <w:rFonts w:hint="eastAsia" w:ascii="宋体" w:hAnsi="宋体" w:eastAsia="宋体" w:cs="宋体"/>
          <w:b/>
          <w:bCs/>
          <w:color w:val="auto"/>
          <w:kern w:val="28"/>
          <w:sz w:val="21"/>
          <w:szCs w:val="21"/>
          <w:highlight w:val="none"/>
          <w:lang w:val="en-US" w:eastAsia="zh-CN" w:bidi="ar-SA"/>
        </w:rPr>
        <w:t>时间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kern w:val="0"/>
          <w:sz w:val="21"/>
          <w:szCs w:val="21"/>
          <w:highlight w:val="none"/>
          <w:u w:val="single"/>
          <w:lang w:eastAsia="zh-CN"/>
        </w:rPr>
        <w:t>2024年</w:t>
      </w:r>
      <w:r>
        <w:rPr>
          <w:rFonts w:hint="eastAsia" w:ascii="宋体" w:hAnsi="宋体" w:eastAsia="宋体" w:cs="宋体"/>
          <w:color w:val="auto"/>
          <w:kern w:val="0"/>
          <w:sz w:val="21"/>
          <w:szCs w:val="21"/>
          <w:highlight w:val="none"/>
          <w:u w:val="single"/>
          <w:lang w:val="en-US" w:eastAsia="zh-CN"/>
        </w:rPr>
        <w:t>10月22日09</w:t>
      </w:r>
      <w:r>
        <w:rPr>
          <w:rFonts w:hint="eastAsia" w:ascii="宋体" w:hAnsi="宋体" w:eastAsia="宋体" w:cs="宋体"/>
          <w:color w:val="auto"/>
          <w:kern w:val="0"/>
          <w:sz w:val="21"/>
          <w:szCs w:val="21"/>
          <w:highlight w:val="none"/>
          <w:u w:val="single"/>
        </w:rPr>
        <w:t>时</w:t>
      </w:r>
      <w:r>
        <w:rPr>
          <w:rFonts w:hint="eastAsia" w:ascii="宋体" w:hAnsi="宋体" w:eastAsia="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rPr>
        <w:t>分</w:t>
      </w:r>
      <w:r>
        <w:rPr>
          <w:rFonts w:hint="eastAsia" w:ascii="宋体" w:hAnsi="宋体" w:eastAsia="宋体" w:cs="宋体"/>
          <w:color w:val="auto"/>
          <w:kern w:val="0"/>
          <w:sz w:val="21"/>
          <w:szCs w:val="21"/>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广州市越秀区寺右新马路111号五羊新城广场9楼第一会议室。</w:t>
      </w:r>
    </w:p>
    <w:p>
      <w:pPr>
        <w:pStyle w:val="3"/>
        <w:keepNext w:val="0"/>
        <w:keepLines w:val="0"/>
        <w:pageBreakBefore w:val="0"/>
        <w:numPr>
          <w:ilvl w:val="0"/>
          <w:numId w:val="1"/>
        </w:numPr>
        <w:kinsoku/>
        <w:overflowPunct/>
        <w:topLinePunct w:val="0"/>
        <w:bidi w:val="0"/>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本公告期限</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自本公告发布之日起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个工作日。本公告于广州市国际工程咨询有限公司及广州国企阳光采购信息发布平台发布</w:t>
      </w:r>
      <w:r>
        <w:rPr>
          <w:rFonts w:hint="eastAsia" w:ascii="宋体" w:hAnsi="宋体" w:eastAsia="宋体" w:cs="宋体"/>
          <w:color w:val="auto"/>
          <w:sz w:val="21"/>
          <w:szCs w:val="21"/>
          <w:highlight w:val="none"/>
          <w:lang w:eastAsia="zh-CN"/>
        </w:rPr>
        <w:t>。</w:t>
      </w:r>
    </w:p>
    <w:p>
      <w:pPr>
        <w:pStyle w:val="3"/>
        <w:keepNext w:val="0"/>
        <w:keepLines w:val="0"/>
        <w:pageBreakBefore w:val="0"/>
        <w:numPr>
          <w:ilvl w:val="0"/>
          <w:numId w:val="0"/>
        </w:numPr>
        <w:kinsoku/>
        <w:overflowPunct/>
        <w:topLinePunct w:val="0"/>
        <w:bidi w:val="0"/>
        <w:snapToGrid/>
        <w:spacing w:line="360" w:lineRule="auto"/>
        <w:ind w:leftChars="0" w:firstLine="0" w:firstLineChars="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七、联系事项：</w:t>
      </w:r>
    </w:p>
    <w:p>
      <w:pPr>
        <w:keepNext w:val="0"/>
        <w:keepLines w:val="0"/>
        <w:pageBreakBefore w:val="0"/>
        <w:widowControl/>
        <w:kinsoku/>
        <w:overflowPunct/>
        <w:topLinePunct w:val="0"/>
        <w:autoSpaceDE/>
        <w:autoSpaceDN/>
        <w:bidi w:val="0"/>
        <w:adjustRightInd w:val="0"/>
        <w:snapToGrid/>
        <w:spacing w:beforeAutospacing="0" w:afterAutospacing="0" w:line="360" w:lineRule="auto"/>
        <w:ind w:right="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（一）采购人：</w:t>
      </w:r>
      <w:r>
        <w:rPr>
          <w:rFonts w:hint="eastAsia" w:ascii="宋体" w:hAnsi="宋体" w:eastAsia="宋体" w:cs="宋体"/>
          <w:color w:val="auto"/>
          <w:sz w:val="21"/>
          <w:szCs w:val="21"/>
          <w:highlight w:val="none"/>
          <w:lang w:val="en-US" w:eastAsia="zh-CN"/>
        </w:rPr>
        <w:t>广府通数字科技(广州)有限公司</w:t>
      </w:r>
    </w:p>
    <w:p>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地址：广州市越秀区解放北路899号锦洲国际商务大厦409</w:t>
      </w:r>
    </w:p>
    <w:p>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联系人：李小姐</w:t>
      </w:r>
    </w:p>
    <w:p>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联系电话：020-83586835</w:t>
      </w:r>
    </w:p>
    <w:p>
      <w:pPr>
        <w:keepNext w:val="0"/>
        <w:keepLines w:val="0"/>
        <w:pageBreakBefore w:val="0"/>
        <w:widowControl/>
        <w:numPr>
          <w:ilvl w:val="0"/>
          <w:numId w:val="2"/>
        </w:numPr>
        <w:kinsoku/>
        <w:overflowPunct/>
        <w:topLinePunct w:val="0"/>
        <w:autoSpaceDE/>
        <w:autoSpaceDN/>
        <w:bidi w:val="0"/>
        <w:adjustRightInd w:val="0"/>
        <w:snapToGrid/>
        <w:spacing w:beforeAutospacing="0" w:afterAutospacing="0" w:line="360" w:lineRule="auto"/>
        <w:ind w:righ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广州市国际工程咨询有限公司</w:t>
      </w:r>
    </w:p>
    <w:p>
      <w:pPr>
        <w:keepNext w:val="0"/>
        <w:keepLines w:val="0"/>
        <w:pageBreakBefore w:val="0"/>
        <w:widowControl/>
        <w:numPr>
          <w:ilvl w:val="0"/>
          <w:numId w:val="0"/>
        </w:numPr>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地址：广州市寺右新马路111号五羊新城广场</w:t>
      </w:r>
      <w:r>
        <w:rPr>
          <w:rFonts w:hint="eastAsia" w:ascii="宋体" w:hAnsi="宋体" w:eastAsia="宋体" w:cs="宋体"/>
          <w:color w:val="auto"/>
          <w:sz w:val="21"/>
          <w:szCs w:val="21"/>
          <w:highlight w:val="none"/>
          <w:lang w:val="en-US" w:eastAsia="zh-CN"/>
        </w:rPr>
        <w:t>8楼821</w:t>
      </w:r>
    </w:p>
    <w:p>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谢工</w:t>
      </w:r>
    </w:p>
    <w:p>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联系电话：020-87386919</w:t>
      </w:r>
      <w:r>
        <w:rPr>
          <w:rFonts w:hint="eastAsia" w:ascii="宋体" w:hAnsi="宋体" w:eastAsia="宋体" w:cs="宋体"/>
          <w:color w:val="auto"/>
          <w:sz w:val="21"/>
          <w:szCs w:val="21"/>
          <w:highlight w:val="none"/>
          <w:lang w:val="en-US" w:eastAsia="zh-CN"/>
        </w:rPr>
        <w:t>-533</w:t>
      </w:r>
    </w:p>
    <w:p>
      <w:pPr>
        <w:pStyle w:val="3"/>
        <w:keepNext w:val="0"/>
        <w:keepLines w:val="0"/>
        <w:pageBreakBefore w:val="0"/>
        <w:numPr>
          <w:ilvl w:val="0"/>
          <w:numId w:val="3"/>
        </w:numPr>
        <w:kinsoku/>
        <w:overflowPunct/>
        <w:topLinePunct w:val="0"/>
        <w:autoSpaceDE/>
        <w:autoSpaceDN/>
        <w:bidi w:val="0"/>
        <w:adjustRightInd w:val="0"/>
        <w:snapToGrid/>
        <w:spacing w:beforeAutospacing="0" w:afterAutospacing="0" w:line="360" w:lineRule="auto"/>
        <w:ind w:right="0" w:firstLine="0" w:firstLine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采购项目联系人：</w:t>
      </w:r>
      <w:r>
        <w:rPr>
          <w:rFonts w:hint="eastAsia" w:ascii="宋体" w:hAnsi="宋体" w:eastAsia="宋体" w:cs="宋体"/>
          <w:color w:val="auto"/>
          <w:sz w:val="21"/>
          <w:szCs w:val="21"/>
          <w:highlight w:val="none"/>
          <w:lang w:val="en-US" w:eastAsia="zh-CN"/>
        </w:rPr>
        <w:t>谢工</w:t>
      </w:r>
    </w:p>
    <w:p>
      <w:pPr>
        <w:pStyle w:val="3"/>
        <w:keepNext w:val="0"/>
        <w:keepLines w:val="0"/>
        <w:pageBreakBefore w:val="0"/>
        <w:numPr>
          <w:ilvl w:val="0"/>
          <w:numId w:val="0"/>
        </w:numPr>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联系电话：020-87386919</w:t>
      </w:r>
      <w:r>
        <w:rPr>
          <w:rFonts w:hint="eastAsia" w:ascii="宋体" w:hAnsi="宋体" w:eastAsia="宋体" w:cs="宋体"/>
          <w:color w:val="auto"/>
          <w:sz w:val="21"/>
          <w:szCs w:val="21"/>
          <w:highlight w:val="none"/>
          <w:lang w:val="en-US" w:eastAsia="zh-CN"/>
        </w:rPr>
        <w:t>-533</w:t>
      </w:r>
    </w:p>
    <w:p>
      <w:pPr>
        <w:pStyle w:val="3"/>
        <w:keepNext w:val="0"/>
        <w:keepLines w:val="0"/>
        <w:pageBreakBefore w:val="0"/>
        <w:kinsoku/>
        <w:overflowPunct/>
        <w:topLinePunct w:val="0"/>
        <w:autoSpaceDE/>
        <w:autoSpaceDN/>
        <w:bidi w:val="0"/>
        <w:adjustRightInd w:val="0"/>
        <w:snapToGrid/>
        <w:spacing w:beforeAutospacing="0" w:afterAutospacing="0" w:line="360" w:lineRule="auto"/>
        <w:ind w:right="0" w:firstLine="0" w:firstLineChars="0"/>
        <w:jc w:val="both"/>
        <w:textAlignment w:val="auto"/>
        <w:outlineLvl w:val="9"/>
        <w:rPr>
          <w:rFonts w:hint="eastAsia" w:ascii="宋体" w:hAnsi="宋体" w:eastAsia="宋体" w:cs="宋体"/>
          <w:color w:val="auto"/>
          <w:sz w:val="21"/>
          <w:szCs w:val="21"/>
          <w:highlight w:val="none"/>
        </w:rPr>
      </w:pPr>
    </w:p>
    <w:p>
      <w:pPr>
        <w:pStyle w:val="3"/>
        <w:keepNext w:val="0"/>
        <w:keepLines w:val="0"/>
        <w:pageBreakBefore w:val="0"/>
        <w:kinsoku/>
        <w:overflowPunct/>
        <w:topLinePunct w:val="0"/>
        <w:autoSpaceDE/>
        <w:autoSpaceDN/>
        <w:bidi w:val="0"/>
        <w:adjustRightInd w:val="0"/>
        <w:snapToGrid/>
        <w:spacing w:beforeAutospacing="0" w:afterAutospacing="0" w:line="360" w:lineRule="auto"/>
        <w:ind w:right="0" w:firstLine="0" w:firstLineChars="0"/>
        <w:jc w:val="righ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发布人：</w:t>
      </w:r>
      <w:r>
        <w:rPr>
          <w:rFonts w:hint="eastAsia" w:ascii="宋体" w:hAnsi="宋体" w:eastAsia="宋体" w:cs="宋体"/>
          <w:color w:val="auto"/>
          <w:sz w:val="21"/>
          <w:szCs w:val="21"/>
          <w:highlight w:val="none"/>
          <w:lang w:eastAsia="zh-CN"/>
        </w:rPr>
        <w:t>广州市国际工程咨询有限公司</w:t>
      </w:r>
    </w:p>
    <w:p>
      <w:pPr>
        <w:pStyle w:val="3"/>
        <w:keepNext w:val="0"/>
        <w:keepLines w:val="0"/>
        <w:pageBreakBefore w:val="0"/>
        <w:kinsoku/>
        <w:wordWrap w:val="0"/>
        <w:overflowPunct/>
        <w:topLinePunct w:val="0"/>
        <w:autoSpaceDE/>
        <w:autoSpaceDN/>
        <w:bidi w:val="0"/>
        <w:adjustRightInd w:val="0"/>
        <w:snapToGrid/>
        <w:spacing w:beforeAutospacing="0" w:afterAutospacing="0" w:line="360" w:lineRule="auto"/>
        <w:ind w:right="0" w:firstLine="0" w:firstLineChars="0"/>
        <w:jc w:val="right"/>
        <w:textAlignment w:val="auto"/>
        <w:outlineLvl w:val="9"/>
        <w:rPr>
          <w:rFonts w:hint="eastAsia" w:ascii="宋体" w:hAnsi="宋体" w:eastAsia="宋体" w:cs="宋体"/>
          <w:color w:val="auto"/>
          <w:sz w:val="21"/>
          <w:szCs w:val="21"/>
          <w:highlight w:val="none"/>
        </w:rPr>
        <w:sectPr>
          <w:footerReference r:id="rId3" w:type="default"/>
          <w:pgSz w:w="11906" w:h="16838"/>
          <w:pgMar w:top="1440" w:right="1080" w:bottom="1440" w:left="1080" w:header="567" w:footer="737"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eastAsia="宋体" w:cs="宋体"/>
          <w:color w:val="auto"/>
          <w:kern w:val="0"/>
          <w:sz w:val="21"/>
          <w:szCs w:val="21"/>
          <w:highlight w:val="none"/>
        </w:rPr>
        <w:t>发布时间：</w:t>
      </w:r>
      <w:r>
        <w:rPr>
          <w:rFonts w:hint="eastAsia" w:ascii="宋体" w:hAnsi="宋体" w:eastAsia="宋体" w:cs="宋体"/>
          <w:bCs/>
          <w:color w:val="auto"/>
          <w:sz w:val="21"/>
          <w:szCs w:val="21"/>
          <w:highlight w:val="none"/>
          <w:lang w:eastAsia="zh-CN"/>
        </w:rPr>
        <w:t>2024年</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15 </w:t>
      </w:r>
      <w:r>
        <w:rPr>
          <w:rFonts w:hint="eastAsia" w:ascii="宋体" w:hAnsi="宋体" w:eastAsia="宋体" w:cs="宋体"/>
          <w:color w:val="auto"/>
          <w:sz w:val="21"/>
          <w:szCs w:val="21"/>
          <w:highlight w:val="none"/>
        </w:rPr>
        <w:t>日</w:t>
      </w:r>
    </w:p>
    <w:p>
      <w:pPr>
        <w:pStyle w:val="12"/>
        <w:keepNext w:val="0"/>
        <w:keepLines w:val="0"/>
        <w:widowControl w:val="0"/>
        <w:shd w:val="clear" w:color="auto" w:fill="auto"/>
        <w:bidi w:val="0"/>
        <w:spacing w:before="0" w:line="240" w:lineRule="auto"/>
        <w:ind w:left="0" w:right="0" w:firstLine="0"/>
        <w:jc w:val="center"/>
        <w:rPr>
          <w:rFonts w:hint="eastAsia" w:asciiTheme="minorEastAsia" w:hAnsiTheme="minorEastAsia" w:eastAsiaTheme="minorEastAsia" w:cstheme="minorEastAsia"/>
        </w:rPr>
      </w:pPr>
      <w:r>
        <w:rPr>
          <w:rFonts w:hint="eastAsia" w:ascii="宋体" w:hAnsi="宋体" w:cs="宋体"/>
          <w:color w:val="auto"/>
          <w:szCs w:val="21"/>
          <w:highlight w:val="none"/>
          <w:lang w:val="en-US" w:eastAsia="zh-CN"/>
        </w:rPr>
        <w:t>响应</w:t>
      </w:r>
      <w:r>
        <w:rPr>
          <w:rFonts w:hint="eastAsia" w:asciiTheme="minorEastAsia" w:hAnsiTheme="minorEastAsia" w:eastAsiaTheme="minorEastAsia" w:cstheme="minorEastAsia"/>
        </w:rPr>
        <w:t>登记申请表</w:t>
      </w:r>
    </w:p>
    <w:tbl>
      <w:tblPr>
        <w:tblStyle w:val="9"/>
        <w:tblW w:w="4999" w:type="pct"/>
        <w:jc w:val="center"/>
        <w:tblLayout w:type="autofit"/>
        <w:tblCellMar>
          <w:top w:w="0" w:type="dxa"/>
          <w:left w:w="10" w:type="dxa"/>
          <w:bottom w:w="0" w:type="dxa"/>
          <w:right w:w="10" w:type="dxa"/>
        </w:tblCellMar>
      </w:tblPr>
      <w:tblGrid>
        <w:gridCol w:w="1136"/>
        <w:gridCol w:w="1661"/>
        <w:gridCol w:w="2537"/>
        <w:gridCol w:w="3152"/>
        <w:gridCol w:w="2716"/>
        <w:gridCol w:w="3952"/>
      </w:tblGrid>
      <w:tr>
        <w:tblPrEx>
          <w:tblCellMar>
            <w:top w:w="0" w:type="dxa"/>
            <w:left w:w="10" w:type="dxa"/>
            <w:bottom w:w="0" w:type="dxa"/>
            <w:right w:w="10" w:type="dxa"/>
          </w:tblCellMar>
        </w:tblPrEx>
        <w:trPr>
          <w:trHeight w:val="922" w:hRule="exact"/>
          <w:jc w:val="center"/>
        </w:trPr>
        <w:tc>
          <w:tcPr>
            <w:tcW w:w="923" w:type="pct"/>
            <w:gridSpan w:val="2"/>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项目编号</w:t>
            </w:r>
          </w:p>
        </w:tc>
        <w:tc>
          <w:tcPr>
            <w:tcW w:w="1877" w:type="pct"/>
            <w:gridSpan w:val="2"/>
            <w:tcBorders>
              <w:top w:val="single" w:color="auto" w:sz="4" w:space="0"/>
              <w:lef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CN"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p>
        </w:tc>
        <w:tc>
          <w:tcPr>
            <w:tcW w:w="896" w:type="pc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购买文件日期</w:t>
            </w:r>
          </w:p>
        </w:tc>
        <w:tc>
          <w:tcPr>
            <w:tcW w:w="1301" w:type="pct"/>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年</w:t>
            </w: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月</w:t>
            </w: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 xml:space="preserve"> 日</w:t>
            </w:r>
          </w:p>
        </w:tc>
      </w:tr>
      <w:tr>
        <w:tblPrEx>
          <w:tblCellMar>
            <w:top w:w="0" w:type="dxa"/>
            <w:left w:w="10" w:type="dxa"/>
            <w:bottom w:w="0" w:type="dxa"/>
            <w:right w:w="10" w:type="dxa"/>
          </w:tblCellMar>
        </w:tblPrEx>
        <w:trPr>
          <w:trHeight w:val="871" w:hRule="exact"/>
          <w:jc w:val="center"/>
        </w:trPr>
        <w:tc>
          <w:tcPr>
            <w:tcW w:w="923" w:type="pct"/>
            <w:gridSpan w:val="2"/>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项目名称</w:t>
            </w:r>
          </w:p>
        </w:tc>
        <w:tc>
          <w:tcPr>
            <w:tcW w:w="4076" w:type="pct"/>
            <w:gridSpan w:val="4"/>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CN"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p>
        </w:tc>
      </w:tr>
      <w:tr>
        <w:tblPrEx>
          <w:tblCellMar>
            <w:top w:w="0" w:type="dxa"/>
            <w:left w:w="10" w:type="dxa"/>
            <w:bottom w:w="0" w:type="dxa"/>
            <w:right w:w="10" w:type="dxa"/>
          </w:tblCellMar>
        </w:tblPrEx>
        <w:trPr>
          <w:trHeight w:val="1354" w:hRule="exact"/>
          <w:jc w:val="center"/>
        </w:trPr>
        <w:tc>
          <w:tcPr>
            <w:tcW w:w="375" w:type="pct"/>
            <w:vMerge w:val="restart"/>
            <w:tcBorders>
              <w:top w:val="single" w:color="auto" w:sz="4" w:space="0"/>
              <w:left w:val="single" w:color="auto" w:sz="4" w:space="0"/>
            </w:tcBorders>
            <w:shd w:val="clear" w:color="auto" w:fill="FFFFFF"/>
            <w:textDirection w:val="tbRlV"/>
            <w:vAlign w:val="center"/>
          </w:tcPr>
          <w:p>
            <w:pPr>
              <w:pStyle w:val="14"/>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lang w:val="en-US" w:eastAsia="zh-CN"/>
              </w:rPr>
              <w:t>供应商</w:t>
            </w:r>
            <w:r>
              <w:rPr>
                <w:rFonts w:hint="eastAsia" w:asciiTheme="minorEastAsia" w:hAnsiTheme="minorEastAsia" w:eastAsiaTheme="minorEastAsia" w:cstheme="minorEastAsia"/>
                <w:color w:val="000000"/>
                <w:spacing w:val="0"/>
                <w:w w:val="100"/>
                <w:position w:val="0"/>
                <w:sz w:val="28"/>
                <w:szCs w:val="28"/>
              </w:rPr>
              <w:t>资料</w:t>
            </w:r>
          </w:p>
        </w:tc>
        <w:tc>
          <w:tcPr>
            <w:tcW w:w="548" w:type="pc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单位名称</w:t>
            </w:r>
          </w:p>
        </w:tc>
        <w:tc>
          <w:tcPr>
            <w:tcW w:w="4076" w:type="pct"/>
            <w:gridSpan w:val="4"/>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sz w:val="28"/>
                <w:szCs w:val="28"/>
              </w:rPr>
            </w:pPr>
          </w:p>
        </w:tc>
      </w:tr>
      <w:tr>
        <w:tblPrEx>
          <w:tblCellMar>
            <w:top w:w="0" w:type="dxa"/>
            <w:left w:w="10" w:type="dxa"/>
            <w:bottom w:w="0" w:type="dxa"/>
            <w:right w:w="10" w:type="dxa"/>
          </w:tblCellMar>
        </w:tblPrEx>
        <w:trPr>
          <w:trHeight w:val="698" w:hRule="exact"/>
          <w:jc w:val="center"/>
        </w:trPr>
        <w:tc>
          <w:tcPr>
            <w:tcW w:w="375" w:type="pct"/>
            <w:vMerge w:val="continue"/>
            <w:tcBorders>
              <w:left w:val="single" w:color="auto" w:sz="4" w:space="0"/>
            </w:tcBorders>
            <w:shd w:val="clear" w:color="auto" w:fill="FFFFFF"/>
            <w:textDirection w:val="tbRlV"/>
            <w:vAlign w:val="center"/>
          </w:tcPr>
          <w:p>
            <w:pPr>
              <w:jc w:val="center"/>
              <w:rPr>
                <w:rFonts w:hint="eastAsia" w:asciiTheme="minorEastAsia" w:hAnsiTheme="minorEastAsia" w:eastAsiaTheme="minorEastAsia" w:cstheme="minorEastAsia"/>
                <w:sz w:val="28"/>
                <w:szCs w:val="28"/>
              </w:rPr>
            </w:pPr>
          </w:p>
        </w:tc>
        <w:tc>
          <w:tcPr>
            <w:tcW w:w="548" w:type="pc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地址</w:t>
            </w:r>
          </w:p>
        </w:tc>
        <w:tc>
          <w:tcPr>
            <w:tcW w:w="1877" w:type="pct"/>
            <w:gridSpan w:val="2"/>
            <w:tcBorders>
              <w:top w:val="single" w:color="auto" w:sz="4" w:space="0"/>
              <w:lef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sz w:val="28"/>
                <w:szCs w:val="28"/>
              </w:rPr>
            </w:pPr>
          </w:p>
        </w:tc>
        <w:tc>
          <w:tcPr>
            <w:tcW w:w="896" w:type="pc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邮编</w:t>
            </w:r>
          </w:p>
        </w:tc>
        <w:tc>
          <w:tcPr>
            <w:tcW w:w="1301" w:type="pct"/>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sz w:val="28"/>
                <w:szCs w:val="28"/>
              </w:rPr>
            </w:pPr>
          </w:p>
        </w:tc>
      </w:tr>
      <w:tr>
        <w:tblPrEx>
          <w:tblCellMar>
            <w:top w:w="0" w:type="dxa"/>
            <w:left w:w="10" w:type="dxa"/>
            <w:bottom w:w="0" w:type="dxa"/>
            <w:right w:w="10" w:type="dxa"/>
          </w:tblCellMar>
        </w:tblPrEx>
        <w:trPr>
          <w:trHeight w:val="698" w:hRule="exact"/>
          <w:jc w:val="center"/>
        </w:trPr>
        <w:tc>
          <w:tcPr>
            <w:tcW w:w="375" w:type="pct"/>
            <w:vMerge w:val="continue"/>
            <w:tcBorders>
              <w:left w:val="single" w:color="auto" w:sz="4" w:space="0"/>
            </w:tcBorders>
            <w:shd w:val="clear" w:color="auto" w:fill="FFFFFF"/>
            <w:textDirection w:val="tbRlV"/>
            <w:vAlign w:val="center"/>
          </w:tcPr>
          <w:p>
            <w:pPr>
              <w:jc w:val="center"/>
              <w:rPr>
                <w:rFonts w:hint="eastAsia" w:asciiTheme="minorEastAsia" w:hAnsiTheme="minorEastAsia" w:eastAsiaTheme="minorEastAsia" w:cstheme="minorEastAsia"/>
                <w:sz w:val="28"/>
                <w:szCs w:val="28"/>
              </w:rPr>
            </w:pPr>
          </w:p>
        </w:tc>
        <w:tc>
          <w:tcPr>
            <w:tcW w:w="548" w:type="pct"/>
            <w:vMerge w:val="restar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报名授权人</w:t>
            </w:r>
          </w:p>
        </w:tc>
        <w:tc>
          <w:tcPr>
            <w:tcW w:w="837" w:type="pc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姓名</w:t>
            </w:r>
          </w:p>
        </w:tc>
        <w:tc>
          <w:tcPr>
            <w:tcW w:w="1039" w:type="pc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手机</w:t>
            </w:r>
          </w:p>
        </w:tc>
        <w:tc>
          <w:tcPr>
            <w:tcW w:w="896" w:type="pct"/>
            <w:tcBorders>
              <w:top w:val="single" w:color="auto" w:sz="4" w:space="0"/>
              <w:lef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电子邮箱</w:t>
            </w:r>
          </w:p>
        </w:tc>
        <w:tc>
          <w:tcPr>
            <w:tcW w:w="1301" w:type="pct"/>
            <w:tcBorders>
              <w:top w:val="single" w:color="auto" w:sz="4" w:space="0"/>
              <w:left w:val="single" w:color="auto" w:sz="4" w:space="0"/>
              <w:right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固定电话</w:t>
            </w:r>
          </w:p>
        </w:tc>
      </w:tr>
      <w:tr>
        <w:tblPrEx>
          <w:tblCellMar>
            <w:top w:w="0" w:type="dxa"/>
            <w:left w:w="10" w:type="dxa"/>
            <w:bottom w:w="0" w:type="dxa"/>
            <w:right w:w="10" w:type="dxa"/>
          </w:tblCellMar>
        </w:tblPrEx>
        <w:trPr>
          <w:trHeight w:val="662" w:hRule="exact"/>
          <w:jc w:val="center"/>
        </w:trPr>
        <w:tc>
          <w:tcPr>
            <w:tcW w:w="375" w:type="pct"/>
            <w:vMerge w:val="continue"/>
            <w:tcBorders>
              <w:left w:val="single" w:color="auto" w:sz="4" w:space="0"/>
            </w:tcBorders>
            <w:shd w:val="clear" w:color="auto" w:fill="FFFFFF"/>
            <w:textDirection w:val="tbRlV"/>
            <w:vAlign w:val="center"/>
          </w:tcPr>
          <w:p>
            <w:pPr>
              <w:jc w:val="center"/>
              <w:rPr>
                <w:rFonts w:hint="eastAsia" w:asciiTheme="minorEastAsia" w:hAnsiTheme="minorEastAsia" w:eastAsiaTheme="minorEastAsia" w:cstheme="minorEastAsia"/>
                <w:sz w:val="28"/>
                <w:szCs w:val="28"/>
              </w:rPr>
            </w:pPr>
          </w:p>
        </w:tc>
        <w:tc>
          <w:tcPr>
            <w:tcW w:w="548" w:type="pct"/>
            <w:vMerge w:val="continue"/>
            <w:tcBorders>
              <w:left w:val="single" w:color="auto" w:sz="4" w:space="0"/>
            </w:tcBorders>
            <w:shd w:val="clear" w:color="auto" w:fill="FFFFFF"/>
            <w:vAlign w:val="center"/>
          </w:tcPr>
          <w:p>
            <w:pPr>
              <w:jc w:val="center"/>
              <w:rPr>
                <w:rFonts w:hint="eastAsia" w:asciiTheme="minorEastAsia" w:hAnsiTheme="minorEastAsia" w:eastAsiaTheme="minorEastAsia" w:cstheme="minorEastAsia"/>
                <w:sz w:val="28"/>
                <w:szCs w:val="28"/>
              </w:rPr>
            </w:pPr>
          </w:p>
        </w:tc>
        <w:tc>
          <w:tcPr>
            <w:tcW w:w="837" w:type="pct"/>
            <w:tcBorders>
              <w:top w:val="single" w:color="auto" w:sz="4" w:space="0"/>
              <w:lef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sz w:val="28"/>
                <w:szCs w:val="28"/>
              </w:rPr>
            </w:pPr>
          </w:p>
        </w:tc>
        <w:tc>
          <w:tcPr>
            <w:tcW w:w="1039" w:type="pct"/>
            <w:tcBorders>
              <w:top w:val="single" w:color="auto" w:sz="4" w:space="0"/>
              <w:lef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sz w:val="28"/>
                <w:szCs w:val="28"/>
              </w:rPr>
            </w:pPr>
          </w:p>
        </w:tc>
        <w:tc>
          <w:tcPr>
            <w:tcW w:w="896" w:type="pct"/>
            <w:tcBorders>
              <w:top w:val="single" w:color="auto" w:sz="4" w:space="0"/>
              <w:lef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sz w:val="28"/>
                <w:szCs w:val="28"/>
              </w:rPr>
            </w:pPr>
          </w:p>
        </w:tc>
        <w:tc>
          <w:tcPr>
            <w:tcW w:w="1301" w:type="pct"/>
            <w:tcBorders>
              <w:top w:val="single" w:color="auto" w:sz="4" w:space="0"/>
              <w:left w:val="single" w:color="auto" w:sz="4" w:space="0"/>
              <w:right w:val="single" w:color="auto" w:sz="4" w:space="0"/>
            </w:tcBorders>
            <w:shd w:val="clear" w:color="auto" w:fill="FFFFFF"/>
            <w:vAlign w:val="center"/>
          </w:tcPr>
          <w:p>
            <w:pPr>
              <w:widowControl w:val="0"/>
              <w:jc w:val="center"/>
              <w:rPr>
                <w:rFonts w:hint="eastAsia" w:asciiTheme="minorEastAsia" w:hAnsiTheme="minorEastAsia" w:eastAsiaTheme="minorEastAsia" w:cstheme="minorEastAsia"/>
                <w:sz w:val="28"/>
                <w:szCs w:val="28"/>
              </w:rPr>
            </w:pPr>
          </w:p>
        </w:tc>
      </w:tr>
      <w:tr>
        <w:tblPrEx>
          <w:tblCellMar>
            <w:top w:w="0" w:type="dxa"/>
            <w:left w:w="10" w:type="dxa"/>
            <w:bottom w:w="0" w:type="dxa"/>
            <w:right w:w="10" w:type="dxa"/>
          </w:tblCellMar>
        </w:tblPrEx>
        <w:trPr>
          <w:trHeight w:val="2671" w:hRule="exact"/>
          <w:jc w:val="center"/>
        </w:trPr>
        <w:tc>
          <w:tcPr>
            <w:tcW w:w="375" w:type="pct"/>
            <w:tcBorders>
              <w:top w:val="single" w:color="auto" w:sz="4" w:space="0"/>
              <w:left w:val="single" w:color="auto" w:sz="4" w:space="0"/>
              <w:bottom w:val="single" w:color="auto" w:sz="4" w:space="0"/>
            </w:tcBorders>
            <w:shd w:val="clear" w:color="auto" w:fill="FFFFFF"/>
            <w:vAlign w:val="center"/>
          </w:tcPr>
          <w:p>
            <w:pPr>
              <w:pStyle w:val="13"/>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00"/>
                <w:spacing w:val="0"/>
                <w:w w:val="100"/>
                <w:position w:val="0"/>
                <w:sz w:val="28"/>
                <w:szCs w:val="28"/>
                <w:lang w:val="en-US" w:eastAsia="zh-CN"/>
              </w:rPr>
              <w:t>备注</w:t>
            </w:r>
          </w:p>
        </w:tc>
        <w:tc>
          <w:tcPr>
            <w:tcW w:w="4624" w:type="pct"/>
            <w:gridSpan w:val="5"/>
            <w:tcBorders>
              <w:top w:val="single" w:color="auto" w:sz="4" w:space="0"/>
              <w:left w:val="single" w:color="auto" w:sz="4" w:space="0"/>
              <w:bottom w:val="single" w:color="auto" w:sz="4" w:space="0"/>
              <w:right w:val="single" w:color="auto" w:sz="4" w:space="0"/>
            </w:tcBorders>
            <w:shd w:val="clear" w:color="auto" w:fill="FFFFFF"/>
            <w:vAlign w:val="top"/>
          </w:tcPr>
          <w:p>
            <w:pPr>
              <w:pStyle w:val="13"/>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提交资料清单：</w:t>
            </w:r>
          </w:p>
          <w:p>
            <w:pPr>
              <w:pStyle w:val="13"/>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color w:val="000000"/>
                <w:spacing w:val="0"/>
                <w:w w:val="100"/>
                <w:position w:val="0"/>
                <w:sz w:val="28"/>
                <w:szCs w:val="28"/>
                <w:lang w:eastAsia="zh-CN"/>
              </w:rPr>
            </w:pPr>
            <w:r>
              <w:rPr>
                <w:rFonts w:hint="eastAsia" w:asciiTheme="minorEastAsia" w:hAnsiTheme="minorEastAsia" w:eastAsiaTheme="minorEastAsia" w:cstheme="minorEastAsia"/>
                <w:color w:val="000000"/>
                <w:spacing w:val="0"/>
                <w:w w:val="100"/>
                <w:position w:val="0"/>
                <w:sz w:val="28"/>
                <w:szCs w:val="28"/>
              </w:rPr>
              <w:t>口法定代表人证明书及报名人的法定代表人授权委托书原件</w:t>
            </w:r>
            <w:r>
              <w:rPr>
                <w:rFonts w:hint="eastAsia" w:asciiTheme="minorEastAsia" w:hAnsiTheme="minorEastAsia" w:eastAsiaTheme="minorEastAsia" w:cstheme="minorEastAsia"/>
                <w:color w:val="000000"/>
                <w:spacing w:val="0"/>
                <w:w w:val="100"/>
                <w:position w:val="0"/>
                <w:sz w:val="28"/>
                <w:szCs w:val="28"/>
                <w:lang w:eastAsia="zh-CN"/>
              </w:rPr>
              <w:t>；</w:t>
            </w:r>
          </w:p>
          <w:p>
            <w:pPr>
              <w:pStyle w:val="13"/>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color w:val="000000"/>
                <w:spacing w:val="0"/>
                <w:w w:val="100"/>
                <w:position w:val="0"/>
                <w:sz w:val="28"/>
                <w:szCs w:val="28"/>
              </w:rPr>
            </w:pPr>
            <w:r>
              <w:rPr>
                <w:rFonts w:hint="eastAsia" w:asciiTheme="minorEastAsia" w:hAnsiTheme="minorEastAsia" w:eastAsiaTheme="minorEastAsia" w:cstheme="minorEastAsia"/>
                <w:color w:val="000000"/>
                <w:spacing w:val="0"/>
                <w:w w:val="100"/>
                <w:position w:val="0"/>
                <w:sz w:val="28"/>
                <w:szCs w:val="28"/>
              </w:rPr>
              <w:t xml:space="preserve">口报名单位营业执照（副本）复印件； </w:t>
            </w:r>
          </w:p>
          <w:p>
            <w:pPr>
              <w:pStyle w:val="13"/>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sz w:val="28"/>
                <w:szCs w:val="28"/>
              </w:rPr>
            </w:pPr>
          </w:p>
        </w:tc>
      </w:tr>
    </w:tbl>
    <w:p>
      <w:bookmarkStart w:id="6" w:name="_GoBack"/>
      <w:bookmarkEnd w:id="6"/>
    </w:p>
    <w:sectPr>
      <w:pgSz w:w="16838" w:h="11906" w:orient="landscape"/>
      <w:pgMar w:top="964" w:right="907" w:bottom="964" w:left="79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tabs>
        <w:tab w:val="right" w:pos="8400"/>
        <w:tab w:val="clear" w:pos="8306"/>
      </w:tabs>
      <w:ind w:right="1" w:firstLine="90" w:firstLineChars="50"/>
      <w:jc w:val="center"/>
      <w:rPr>
        <w:szCs w:val="18"/>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635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355" cy="152400"/>
                      </a:xfrm>
                      <a:prstGeom prst="rect">
                        <a:avLst/>
                      </a:prstGeom>
                      <a:noFill/>
                      <a:ln>
                        <a:noFill/>
                      </a:ln>
                    </wps:spPr>
                    <wps:txbx>
                      <w:txbxContent>
                        <w:p>
                          <w:pPr>
                            <w:pStyle w:val="5"/>
                            <w:rPr>
                              <w:rStyle w:val="11"/>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pt;width:3.65pt;mso-position-horizontal:right;mso-position-horizontal-relative:margin;mso-wrap-style:none;z-index:251659264;mso-width-relative:page;mso-height-relative:page;" filled="f" stroked="f" coordsize="21600,21600" o:gfxdata="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sFldAAAAACAQAADwAAAAAAAAABACAAAAAiAAAAZHJzL2Rvd25y&#10;ZXYueG1sUEsBAhQAFAAAAAgAh07iQIS3q5PNAQAAlgMAAA4AAAAAAAAAAQAgAAAAHwEAAGRycy9l&#10;Mm9Eb2MueG1sUEsFBgAAAAAGAAYAWQEAAF4FAAAAAA==&#10;">
              <v:path/>
              <v:fill on="f" focussize="0,0"/>
              <v:stroke on="f"/>
              <v:imagedata o:title=""/>
              <o:lock v:ext="edit"/>
              <v:textbox inset="0mm,0mm,0mm,0mm" style="mso-fit-shape-to-text:t;">
                <w:txbxContent>
                  <w:p>
                    <w:pPr>
                      <w:pStyle w:val="5"/>
                      <w:rPr>
                        <w:rStyle w:val="1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61536"/>
    <w:multiLevelType w:val="singleLevel"/>
    <w:tmpl w:val="09861536"/>
    <w:lvl w:ilvl="0" w:tentative="0">
      <w:start w:val="5"/>
      <w:numFmt w:val="chineseCounting"/>
      <w:suff w:val="nothing"/>
      <w:lvlText w:val="%1、"/>
      <w:lvlJc w:val="left"/>
      <w:rPr>
        <w:rFonts w:hint="eastAsia"/>
      </w:rPr>
    </w:lvl>
  </w:abstractNum>
  <w:abstractNum w:abstractNumId="1">
    <w:nsid w:val="59F803EB"/>
    <w:multiLevelType w:val="singleLevel"/>
    <w:tmpl w:val="59F803EB"/>
    <w:lvl w:ilvl="0" w:tentative="0">
      <w:start w:val="3"/>
      <w:numFmt w:val="chineseCounting"/>
      <w:suff w:val="nothing"/>
      <w:lvlText w:val="（%1）"/>
      <w:lvlJc w:val="left"/>
    </w:lvl>
  </w:abstractNum>
  <w:abstractNum w:abstractNumId="2">
    <w:nsid w:val="7C796FB4"/>
    <w:multiLevelType w:val="singleLevel"/>
    <w:tmpl w:val="7C796FB4"/>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MWU1ZTEyZDhmNGQwNDYwOTkyYjE4NWNhMGE5NDkifQ=="/>
  </w:docVars>
  <w:rsids>
    <w:rsidRoot w:val="00000000"/>
    <w:rsid w:val="13552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Cs w:val="20"/>
    </w:rPr>
  </w:style>
  <w:style w:type="paragraph" w:styleId="3">
    <w:name w:val="Body Text Indent"/>
    <w:basedOn w:val="1"/>
    <w:next w:val="4"/>
    <w:qFormat/>
    <w:uiPriority w:val="0"/>
    <w:pPr>
      <w:ind w:firstLine="360"/>
    </w:pPr>
    <w:rPr>
      <w:rFonts w:ascii="Arial" w:hAnsi="Arial"/>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6">
    <w:name w:val="envelope return"/>
    <w:basedOn w:val="1"/>
    <w:qFormat/>
    <w:uiPriority w:val="0"/>
    <w:pPr>
      <w:snapToGrid w:val="0"/>
    </w:pPr>
    <w:rPr>
      <w:rFonts w:ascii="Arial" w:hAnsi="Arial" w:cs="Arial"/>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qFormat/>
    <w:uiPriority w:val="0"/>
  </w:style>
  <w:style w:type="paragraph" w:customStyle="1" w:styleId="12">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3">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4">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2024-10-15T01:56:39Z</dcterms:created>
  <dc:creator>lp</dc:creator>
  <cp:lastModifiedBy>刘平</cp:lastModifiedBy>
  <dcterms:modified xsi:type="dcterms:W3CDTF">2024-10-15T01:58:33Z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C5D98F36BDD744C0942588C910DB4A6B_12</vt:lpwstr>
  </property>
</Properties>
</file>